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D1050" w14:textId="214EBD6F" w:rsidR="00CB22EA" w:rsidRPr="0035034A" w:rsidRDefault="00CB22EA" w:rsidP="00CB22EA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E2A9E61" wp14:editId="440AE80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BC47A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9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6F7FD3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0341</w:t>
      </w:r>
    </w:p>
    <w:p w14:paraId="4BF14776" w14:textId="5A90A000" w:rsidR="00AA3FAE" w:rsidRPr="00AA3FAE" w:rsidRDefault="00CB22EA" w:rsidP="00CB22EA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Athens, Greece, 27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Feb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rd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Mar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27A335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00B6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4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2B28E779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E52E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PCI collision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mitigation of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mobile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IAB-node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mobility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55EB1BC" w14:textId="67F708A5" w:rsidR="00B12328" w:rsidRDefault="00B12328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last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RAN3 meeting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following agreements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had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been achieved for interference mitigation</w:t>
      </w:r>
      <w:r w:rsidR="00FF3A0E">
        <w:rPr>
          <w:rFonts w:ascii="Times New Roman" w:eastAsia="宋体" w:hAnsi="Times New Roman" w:cs="Times New Roman"/>
          <w:kern w:val="0"/>
          <w:sz w:val="20"/>
          <w:szCs w:val="20"/>
        </w:rPr>
        <w:t xml:space="preserve"> [</w:t>
      </w:r>
      <w:r w:rsidR="00FC109E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="00FF3A0E">
        <w:rPr>
          <w:rFonts w:ascii="Times New Roman" w:eastAsia="宋体" w:hAnsi="Times New Roman" w:cs="Times New Roman"/>
          <w:kern w:val="0"/>
          <w:sz w:val="20"/>
          <w:szCs w:val="20"/>
        </w:rPr>
        <w:t>]</w:t>
      </w:r>
      <w:r w:rsidR="009B67DC">
        <w:rPr>
          <w:rFonts w:ascii="Times New Roman" w:eastAsia="宋体" w:hAnsi="Times New Roman" w:cs="Times New Roman"/>
          <w:kern w:val="0"/>
          <w:sz w:val="20"/>
          <w:szCs w:val="20"/>
        </w:rPr>
        <w:t xml:space="preserve"> [</w:t>
      </w:r>
      <w:r w:rsidR="00FC109E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="009B67DC">
        <w:rPr>
          <w:rFonts w:ascii="Times New Roman" w:eastAsia="宋体" w:hAnsi="Times New Roman" w:cs="Times New Roman"/>
          <w:kern w:val="0"/>
          <w:sz w:val="20"/>
          <w:szCs w:val="20"/>
        </w:rPr>
        <w:t>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8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B12328" w14:paraId="6D76BDF0" w14:textId="77777777" w:rsidTr="00F07278">
        <w:trPr>
          <w:trHeight w:val="2820"/>
        </w:trPr>
        <w:tc>
          <w:tcPr>
            <w:tcW w:w="9680" w:type="dxa"/>
          </w:tcPr>
          <w:p w14:paraId="57E3E158" w14:textId="087FF6CD" w:rsidR="009D5AE6" w:rsidRPr="009D5AE6" w:rsidRDefault="009D5AE6" w:rsidP="00421130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AN3 117-e</w:t>
            </w:r>
            <w:r w:rsidR="00FC109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[1]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171D99D6" w14:textId="3F23B502" w:rsidR="00B12328" w:rsidRPr="002C1786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PCI space partitioning via OAM configuration can be used in some cases for avoidance of PCI collisions.</w:t>
            </w:r>
          </w:p>
          <w:p w14:paraId="65A36BAD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From RAN3 perspective, existing mechanism can be used for PCI collision detection in mobile IAB scenario. Further enhancement is FFS. </w:t>
            </w:r>
          </w:p>
          <w:p w14:paraId="4966A9E2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RAN3 to discuss whether mobile IAB needs any enhancements to the existing mechanisms for PCI collision avoidance and/or optimization.</w:t>
            </w:r>
          </w:p>
          <w:p w14:paraId="117EC5B8" w14:textId="77777777" w:rsidR="00B12328" w:rsidRDefault="00B12328" w:rsidP="00421130">
            <w:pPr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From RAN3 perspective, no enhancements are needed for RACH collision avoidance unless requested by other WGs.</w:t>
            </w:r>
          </w:p>
          <w:p w14:paraId="454E5179" w14:textId="1CB28CA6" w:rsidR="009D5AE6" w:rsidRPr="009D5AE6" w:rsidRDefault="009D5AE6" w:rsidP="009D5AE6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bis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</w:t>
            </w:r>
            <w:r w:rsidR="00FC109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[2]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689872FC" w14:textId="77777777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Space Partitioning is performed by OAM and up to implementation.</w:t>
            </w:r>
          </w:p>
          <w:p w14:paraId="3C79B22D" w14:textId="606F9C72" w:rsidR="009D5AE6" w:rsidRPr="00B97033" w:rsidRDefault="009D5AE6" w:rsidP="009D5AE6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B9703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collision can be detected by the F1-terminating IAB-donor of the mobile IAB-node.</w:t>
            </w:r>
          </w:p>
          <w:p w14:paraId="7BDE5B6D" w14:textId="5292AFD0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As baseline, to avoid PCI collision, F1-terminating IAB-donor can reconfigure PCI for the cell of mobile IAB-DU via existing F1AP message.</w:t>
            </w:r>
          </w:p>
          <w:p w14:paraId="02901B5F" w14:textId="5B5B2476" w:rsidR="009D5AE6" w:rsidRPr="009D5AE6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PCI-change on the IAB-node can be supported via handover of connected UEs between cells using old and new PCI, respectively.</w:t>
            </w:r>
          </w:p>
        </w:tc>
      </w:tr>
    </w:tbl>
    <w:p w14:paraId="77F07309" w14:textId="7E724212" w:rsidR="002F0CB9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710426" w:rsidRPr="00710426">
        <w:rPr>
          <w:rFonts w:ascii="Times New Roman" w:eastAsia="宋体" w:hAnsi="Times New Roman" w:cs="Times New Roman"/>
          <w:kern w:val="0"/>
          <w:sz w:val="20"/>
          <w:szCs w:val="20"/>
        </w:rPr>
        <w:t>nterference mitigation of mobile IAB-node mobility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analyzed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F3A0E">
        <w:rPr>
          <w:rFonts w:ascii="Times New Roman" w:eastAsia="宋体" w:hAnsi="Times New Roman" w:cs="Times New Roman"/>
          <w:kern w:val="0"/>
          <w:sz w:val="20"/>
          <w:szCs w:val="20"/>
        </w:rPr>
        <w:t>especially for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potential PCI during the full migration of mobile IAB-node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343D8B9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69527F80" w14:textId="0317247E" w:rsidR="00D3044B" w:rsidRDefault="00D3044B" w:rsidP="00D3044B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2" w:name="OLE_LINK15"/>
      <w:r w:rsidRPr="00D3044B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D3044B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CI collision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avoidance</w:t>
      </w:r>
      <w:bookmarkEnd w:id="2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via UE handover to a new cell</w:t>
      </w:r>
    </w:p>
    <w:p w14:paraId="0D02092B" w14:textId="2E1CCF3C" w:rsidR="005E550E" w:rsidRDefault="00234C1A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s agreed in </w:t>
      </w:r>
      <w:r w:rsidRPr="009D5AE6">
        <w:rPr>
          <w:rFonts w:ascii="Times New Roman" w:eastAsia="宋体" w:hAnsi="Times New Roman" w:cs="Times New Roman" w:hint="eastAsia"/>
          <w:kern w:val="0"/>
          <w:sz w:val="20"/>
          <w:szCs w:val="20"/>
        </w:rPr>
        <w:t>R</w:t>
      </w:r>
      <w:r w:rsidRPr="009D5AE6">
        <w:rPr>
          <w:rFonts w:ascii="Times New Roman" w:eastAsia="宋体" w:hAnsi="Times New Roman" w:cs="Times New Roman"/>
          <w:kern w:val="0"/>
          <w:sz w:val="20"/>
          <w:szCs w:val="20"/>
        </w:rPr>
        <w:t>AN3 117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bis</w:t>
      </w:r>
      <w:r w:rsidRPr="009D5AE6">
        <w:rPr>
          <w:rFonts w:ascii="Times New Roman" w:eastAsia="宋体" w:hAnsi="Times New Roman" w:cs="Times New Roman"/>
          <w:kern w:val="0"/>
          <w:sz w:val="20"/>
          <w:szCs w:val="20"/>
        </w:rPr>
        <w:t>-e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Pr="00234C1A">
        <w:rPr>
          <w:rFonts w:ascii="Times New Roman" w:eastAsia="宋体" w:hAnsi="Times New Roman" w:cs="Times New Roman"/>
          <w:kern w:val="0"/>
          <w:sz w:val="20"/>
          <w:szCs w:val="20"/>
        </w:rPr>
        <w:t>PCI collision avoidance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achieved via handover of all connected UEs from the collided cell to a target cell with new PCI.</w:t>
      </w:r>
      <w:r w:rsidR="00EE16A5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it’s the </w:t>
      </w:r>
      <w:r w:rsidR="00EE16A5" w:rsidRPr="00EE16A5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 w:rsidR="005E550E">
        <w:rPr>
          <w:rFonts w:ascii="Times New Roman" w:eastAsia="宋体" w:hAnsi="Times New Roman" w:cs="Times New Roman"/>
          <w:kern w:val="0"/>
          <w:sz w:val="20"/>
          <w:szCs w:val="20"/>
        </w:rPr>
        <w:t>-CU</w:t>
      </w:r>
      <w:r w:rsidR="00EE16A5" w:rsidRPr="00EE16A5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the mobile IAB-node</w:t>
      </w:r>
      <w:r w:rsidR="00EE16A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detect and confirm the potential PCI collision. </w:t>
      </w:r>
      <w:r w:rsidR="005E550E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this mechanism, the target cell may belong to the same IAB-DU or second logical IAB-DU. </w:t>
      </w:r>
    </w:p>
    <w:p w14:paraId="601A6465" w14:textId="414662D8" w:rsidR="00D3044B" w:rsidRPr="005E550E" w:rsidRDefault="005E550E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case </w:t>
      </w:r>
      <w:r w:rsidR="00BB2FE5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target cell belonging to the same IAB-DU, the </w:t>
      </w:r>
      <w:r w:rsidRPr="00EE16A5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-CU can activate a cell with new PCI in this IAB-DU</w:t>
      </w:r>
      <w:r w:rsidR="00B75694">
        <w:rPr>
          <w:rFonts w:ascii="Times New Roman" w:eastAsia="宋体" w:hAnsi="Times New Roman" w:cs="Times New Roman"/>
          <w:kern w:val="0"/>
          <w:sz w:val="20"/>
          <w:szCs w:val="20"/>
        </w:rPr>
        <w:t xml:space="preserve">, e.g., via F1AP </w:t>
      </w:r>
      <w:proofErr w:type="spellStart"/>
      <w:r w:rsidR="00B75694" w:rsidRPr="00B75694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75694" w:rsidRPr="00B75694">
        <w:rPr>
          <w:rFonts w:ascii="Times New Roman" w:eastAsia="宋体" w:hAnsi="Times New Roman" w:cs="Times New Roman"/>
          <w:kern w:val="0"/>
          <w:sz w:val="20"/>
          <w:szCs w:val="20"/>
        </w:rPr>
        <w:t>-CU Configuration Update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perform 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handover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all connected UEs via the </w:t>
      </w:r>
      <w:r w:rsidRPr="005E550E">
        <w:rPr>
          <w:rFonts w:ascii="Times New Roman" w:eastAsia="宋体" w:hAnsi="Times New Roman" w:cs="Times New Roman"/>
          <w:kern w:val="0"/>
          <w:sz w:val="20"/>
          <w:szCs w:val="20"/>
        </w:rPr>
        <w:t>Intra-</w:t>
      </w:r>
      <w:proofErr w:type="spellStart"/>
      <w:r w:rsidRPr="005E550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5E550E">
        <w:rPr>
          <w:rFonts w:ascii="Times New Roman" w:eastAsia="宋体" w:hAnsi="Times New Roman" w:cs="Times New Roman"/>
          <w:kern w:val="0"/>
          <w:sz w:val="20"/>
          <w:szCs w:val="20"/>
        </w:rPr>
        <w:t>-DU handover</w:t>
      </w:r>
      <w:r w:rsidR="00BB4AC3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46DE9ACD" w14:textId="189F27AE" w:rsidR="00D3044B" w:rsidRPr="00D3044B" w:rsidRDefault="00E51A4B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If the target cell belongs to the second logical IAB-DU, </w:t>
      </w:r>
      <w:r w:rsidR="00A701F8">
        <w:rPr>
          <w:rFonts w:ascii="Times New Roman" w:hAnsi="Times New Roman" w:cs="Times New Roman"/>
          <w:kern w:val="0"/>
          <w:sz w:val="20"/>
          <w:szCs w:val="20"/>
        </w:rPr>
        <w:t xml:space="preserve">the second logical IAB-DU needs to setup F1 with the </w:t>
      </w:r>
      <w:r w:rsidR="00A701F8" w:rsidRPr="00EE16A5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 w:rsidR="00A701F8">
        <w:rPr>
          <w:rFonts w:ascii="Times New Roman" w:eastAsia="宋体" w:hAnsi="Times New Roman" w:cs="Times New Roman"/>
          <w:kern w:val="0"/>
          <w:sz w:val="20"/>
          <w:szCs w:val="20"/>
        </w:rPr>
        <w:t>-CU</w:t>
      </w:r>
      <w:r w:rsidR="00A701F8">
        <w:rPr>
          <w:rFonts w:ascii="Times New Roman" w:hAnsi="Times New Roman" w:cs="Times New Roman"/>
          <w:kern w:val="0"/>
          <w:sz w:val="20"/>
          <w:szCs w:val="20"/>
        </w:rPr>
        <w:t xml:space="preserve"> and activates a cell with new PCI, then the </w:t>
      </w:r>
      <w:r w:rsidR="00A701F8" w:rsidRPr="00EE16A5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 w:rsidR="00A701F8">
        <w:rPr>
          <w:rFonts w:ascii="Times New Roman" w:eastAsia="宋体" w:hAnsi="Times New Roman" w:cs="Times New Roman"/>
          <w:kern w:val="0"/>
          <w:sz w:val="20"/>
          <w:szCs w:val="20"/>
        </w:rPr>
        <w:t xml:space="preserve">-CU performs </w:t>
      </w:r>
      <w:proofErr w:type="gramStart"/>
      <w:r w:rsidR="00A701F8">
        <w:rPr>
          <w:rFonts w:ascii="Times New Roman" w:eastAsia="宋体" w:hAnsi="Times New Roman" w:cs="Times New Roman"/>
          <w:kern w:val="0"/>
          <w:sz w:val="20"/>
          <w:szCs w:val="20"/>
        </w:rPr>
        <w:t>handover</w:t>
      </w:r>
      <w:proofErr w:type="gramEnd"/>
      <w:r w:rsidR="00A701F8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all connected UEs via the </w:t>
      </w:r>
      <w:r w:rsidR="00A701F8" w:rsidRPr="005E550E">
        <w:rPr>
          <w:rFonts w:ascii="Times New Roman" w:eastAsia="宋体" w:hAnsi="Times New Roman" w:cs="Times New Roman"/>
          <w:kern w:val="0"/>
          <w:sz w:val="20"/>
          <w:szCs w:val="20"/>
        </w:rPr>
        <w:t>Int</w:t>
      </w:r>
      <w:r w:rsidR="00A701F8">
        <w:rPr>
          <w:rFonts w:ascii="Times New Roman" w:eastAsia="宋体" w:hAnsi="Times New Roman" w:cs="Times New Roman"/>
          <w:kern w:val="0"/>
          <w:sz w:val="20"/>
          <w:szCs w:val="20"/>
        </w:rPr>
        <w:t>er</w:t>
      </w:r>
      <w:r w:rsidR="00A701F8" w:rsidRPr="005E550E">
        <w:rPr>
          <w:rFonts w:ascii="Times New Roman" w:eastAsia="宋体" w:hAnsi="Times New Roman" w:cs="Times New Roman"/>
          <w:kern w:val="0"/>
          <w:sz w:val="20"/>
          <w:szCs w:val="20"/>
        </w:rPr>
        <w:t>-</w:t>
      </w:r>
      <w:proofErr w:type="spellStart"/>
      <w:r w:rsidR="00A701F8" w:rsidRPr="005E550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A701F8" w:rsidRPr="005E550E">
        <w:rPr>
          <w:rFonts w:ascii="Times New Roman" w:eastAsia="宋体" w:hAnsi="Times New Roman" w:cs="Times New Roman"/>
          <w:kern w:val="0"/>
          <w:sz w:val="20"/>
          <w:szCs w:val="20"/>
        </w:rPr>
        <w:t>-DU handover</w:t>
      </w:r>
      <w:r w:rsidR="00BB4AC3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A701F8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</w:t>
      </w:r>
      <w:r w:rsidR="004054EB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include the context setup for all handover UEs in the second logical IAB-DU.</w:t>
      </w:r>
    </w:p>
    <w:p w14:paraId="56AC8DB1" w14:textId="2D4CA931" w:rsidR="00D3044B" w:rsidRPr="00486BA3" w:rsidRDefault="004054EB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6BA3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486BA3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1: </w:t>
      </w:r>
      <w:r w:rsidR="00486BA3" w:rsidRPr="00486BA3">
        <w:rPr>
          <w:rFonts w:ascii="Times New Roman" w:hAnsi="Times New Roman" w:cs="Times New Roman"/>
          <w:b/>
          <w:bCs/>
          <w:kern w:val="0"/>
          <w:sz w:val="20"/>
          <w:szCs w:val="20"/>
        </w:rPr>
        <w:t>To avoid PCI collision</w:t>
      </w:r>
      <w:r w:rsidR="00486BA3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of mobile</w:t>
      </w:r>
      <w:r w:rsidR="00A7002F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IAB-node</w:t>
      </w:r>
      <w:r w:rsidR="00486BA3" w:rsidRPr="00486BA3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</w:t>
      </w:r>
      <w:r w:rsidR="00486BA3"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F1-terminating IAB-donor-CU of the mobile IAB-node can activate a </w:t>
      </w:r>
      <w:r w:rsid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target </w:t>
      </w:r>
      <w:r w:rsidR="00486BA3"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cell with new PCI in the same IAB-DU, and perform </w:t>
      </w:r>
      <w:proofErr w:type="gramStart"/>
      <w:r w:rsidR="00486BA3"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handover</w:t>
      </w:r>
      <w:proofErr w:type="gramEnd"/>
      <w:r w:rsidR="00486BA3"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all connected UEs </w:t>
      </w:r>
      <w:r w:rsid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to the target cell </w:t>
      </w:r>
      <w:r w:rsidR="00486BA3"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via the Intra-</w:t>
      </w:r>
      <w:proofErr w:type="spellStart"/>
      <w:r w:rsidR="00486BA3"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486BA3"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handover</w:t>
      </w:r>
      <w:r w:rsidR="00BB4AC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</w:t>
      </w:r>
      <w:r w:rsidR="00486BA3"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422A7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2FC8DC2A" w14:textId="77777777" w:rsidR="00C35DBA" w:rsidRPr="00F07278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F0727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F0727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CI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collision detection for partial migration</w:t>
      </w:r>
    </w:p>
    <w:p w14:paraId="47B30D20" w14:textId="77777777" w:rsidR="00C35DBA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B</w:t>
      </w:r>
      <w:r>
        <w:rPr>
          <w:rFonts w:ascii="Times New Roman" w:hAnsi="Times New Roman" w:cs="Times New Roman"/>
          <w:kern w:val="0"/>
          <w:sz w:val="20"/>
          <w:szCs w:val="20"/>
        </w:rPr>
        <w:t>ased on the agreement, it’s the F1-terminating IAB-donor-CU to perform PCI collision detection. But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in case of partial migration, mobile IAB-MT and mobile IAB-DU terminates at different IAB-donor-CUs, which means the F1-terminating IAB-donor-CU cannot receive the measurement report from the IAB-MT. However, the F1-terminating IAB-donor-CU </w:t>
      </w:r>
      <w:r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can still detect the potential PCI collision based on the serving cell information and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neighbour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cell information in the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message if there is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3B0B649C" w14:textId="77777777" w:rsidR="00C35DBA" w:rsidRPr="00A70D29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Observation 1: In case of partial migration, F1-terminating IAB-donor-CU can detect the potential PCI collision based on the serving cell information and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neighbour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cell information in the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message if there is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3F1F824C" w14:textId="77777777" w:rsidR="00C35DBA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Once there is no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IAB-donor-CU, the F1-terminating IAB-donor-CU can still detect the potential PCI collision based on measurement report from UE’s measurement report. In addition, partial migration without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connection has been acknowledged by RAN3 yet, it may too early to investigate this scenario now.</w:t>
      </w:r>
    </w:p>
    <w:p w14:paraId="36D67E58" w14:textId="2EABE64C" w:rsidR="00C35DBA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422A79"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In case of partial migration without </w:t>
      </w:r>
      <w:proofErr w:type="spellStart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connection, RAN3 to consider the PCI collision detection after the case has been acknowledged.</w:t>
      </w:r>
    </w:p>
    <w:p w14:paraId="3821C0A1" w14:textId="2FB84BAE" w:rsidR="00F07278" w:rsidRPr="00F07278" w:rsidRDefault="00F07278" w:rsidP="00C35DBA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F0727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F0727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CI Optimization Function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enhancements</w:t>
      </w:r>
    </w:p>
    <w:tbl>
      <w:tblPr>
        <w:tblW w:w="963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3"/>
      </w:tblGrid>
      <w:tr w:rsidR="00583B3A" w14:paraId="641FEED9" w14:textId="77777777" w:rsidTr="001B62E7">
        <w:trPr>
          <w:trHeight w:val="588"/>
        </w:trPr>
        <w:tc>
          <w:tcPr>
            <w:tcW w:w="9633" w:type="dxa"/>
          </w:tcPr>
          <w:p w14:paraId="33E62C70" w14:textId="2043A3D9" w:rsidR="00765057" w:rsidRPr="009D5AE6" w:rsidRDefault="00765057" w:rsidP="00765057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bis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[2]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</w:t>
            </w:r>
          </w:p>
          <w:p w14:paraId="7C911001" w14:textId="7D50293C" w:rsidR="00583B3A" w:rsidRPr="00583B3A" w:rsidRDefault="00583B3A" w:rsidP="00583B3A">
            <w:pPr>
              <w:spacing w:beforeLines="50" w:before="120"/>
              <w:rPr>
                <w:rFonts w:ascii="Calibri" w:hAnsi="Calibri" w:cs="Calibri"/>
                <w:b/>
                <w:color w:val="0000FF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>FFS for the PCI reconfiguration in case of IAB-donor and IAB-node with different OAMs.</w:t>
            </w:r>
          </w:p>
        </w:tc>
      </w:tr>
    </w:tbl>
    <w:p w14:paraId="132CBB26" w14:textId="45E0217C" w:rsidR="00930369" w:rsidRDefault="00555709" w:rsidP="00F0727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Since PCIs of mobile IAB-DU is assigned by </w:t>
      </w:r>
      <w:r w:rsidR="009235C8">
        <w:rPr>
          <w:rFonts w:ascii="Times New Roman" w:eastAsia="宋体" w:hAnsi="Times New Roman" w:cs="Times New Roman"/>
          <w:kern w:val="0"/>
          <w:sz w:val="20"/>
          <w:szCs w:val="20"/>
        </w:rPr>
        <w:t xml:space="preserve">its serving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OAM and PCI collision is detected by IAB-donor-CU of the mobile IAB-node, </w:t>
      </w:r>
      <w:r w:rsidR="004C5905">
        <w:rPr>
          <w:rFonts w:ascii="Times New Roman" w:eastAsia="宋体" w:hAnsi="Times New Roman" w:cs="Times New Roman"/>
          <w:kern w:val="0"/>
          <w:sz w:val="20"/>
          <w:szCs w:val="20"/>
        </w:rPr>
        <w:t>following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legacy PCI </w:t>
      </w:r>
      <w:r w:rsidR="00782B38" w:rsidRPr="00555709">
        <w:rPr>
          <w:rFonts w:ascii="Times New Roman" w:eastAsia="宋体" w:hAnsi="Times New Roman" w:cs="Times New Roman"/>
          <w:kern w:val="0"/>
          <w:sz w:val="20"/>
          <w:szCs w:val="20"/>
        </w:rPr>
        <w:t>Optimization</w:t>
      </w:r>
      <w:r w:rsidRPr="0055570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Function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A2063">
        <w:rPr>
          <w:rFonts w:ascii="Times New Roman" w:eastAsia="宋体" w:hAnsi="Times New Roman" w:cs="Times New Roman"/>
          <w:kern w:val="0"/>
          <w:sz w:val="20"/>
          <w:szCs w:val="20"/>
        </w:rPr>
        <w:t xml:space="preserve">[3] </w:t>
      </w:r>
      <w:r w:rsidR="004C5905">
        <w:rPr>
          <w:rFonts w:ascii="Times New Roman" w:eastAsia="宋体" w:hAnsi="Times New Roman" w:cs="Times New Roman"/>
          <w:kern w:val="0"/>
          <w:sz w:val="20"/>
          <w:szCs w:val="20"/>
        </w:rPr>
        <w:t xml:space="preserve">cannot be workable if </w:t>
      </w:r>
      <w:r w:rsidR="00FD738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4C5905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IAB-node and </w:t>
      </w:r>
      <w:r w:rsidR="00FD738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4C5905">
        <w:rPr>
          <w:rFonts w:ascii="Times New Roman" w:eastAsia="宋体" w:hAnsi="Times New Roman" w:cs="Times New Roman"/>
          <w:kern w:val="0"/>
          <w:sz w:val="20"/>
          <w:szCs w:val="20"/>
        </w:rPr>
        <w:t>IAB-donor-CU are served by different OAMs</w:t>
      </w:r>
      <w:r w:rsidR="009235C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5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3"/>
      </w:tblGrid>
      <w:tr w:rsidR="009235C8" w14:paraId="64E8DCEC" w14:textId="77777777" w:rsidTr="001D1646">
        <w:trPr>
          <w:trHeight w:val="3392"/>
        </w:trPr>
        <w:tc>
          <w:tcPr>
            <w:tcW w:w="9653" w:type="dxa"/>
          </w:tcPr>
          <w:p w14:paraId="5A850D69" w14:textId="3D336721" w:rsidR="009235C8" w:rsidRPr="00B76E38" w:rsidRDefault="009235C8" w:rsidP="000E47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jc w:val="left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</w:pPr>
            <w:bookmarkStart w:id="3" w:name="_Toc98351704"/>
            <w:bookmarkStart w:id="4" w:name="_Toc98748002"/>
            <w:bookmarkStart w:id="5" w:name="_Toc105704388"/>
            <w:bookmarkStart w:id="6" w:name="_Toc106108506"/>
            <w:bookmarkStart w:id="7" w:name="_Toc107829478"/>
            <w:r w:rsidRPr="00B76E38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</w:rPr>
              <w:t>7.8</w:t>
            </w:r>
            <w:r w:rsidRPr="00B76E38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</w:rPr>
              <w:tab/>
              <w:t>PCI Optimisation Function</w:t>
            </w:r>
            <w:bookmarkEnd w:id="3"/>
            <w:bookmarkEnd w:id="4"/>
            <w:bookmarkEnd w:id="5"/>
            <w:bookmarkEnd w:id="6"/>
            <w:bookmarkEnd w:id="7"/>
          </w:p>
          <w:p w14:paraId="3D604A6A" w14:textId="77777777" w:rsidR="009235C8" w:rsidRPr="00B76E38" w:rsidRDefault="009235C8" w:rsidP="000E47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The PCI Optimization Function in non-split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case is specified in TS 38.300 [2].</w:t>
            </w:r>
          </w:p>
          <w:p w14:paraId="3213931C" w14:textId="77777777" w:rsidR="009235C8" w:rsidRPr="00B76E38" w:rsidRDefault="009235C8" w:rsidP="000E47A7">
            <w:pPr>
              <w:widowControl/>
              <w:tabs>
                <w:tab w:val="left" w:pos="740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In 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architecture, the OAM configures a PCI for each NR cell to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-DU.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ab/>
            </w:r>
          </w:p>
          <w:p w14:paraId="33FF6167" w14:textId="77777777" w:rsidR="009235C8" w:rsidRPr="00B76E38" w:rsidRDefault="009235C8" w:rsidP="000E47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For centralized PCI assignment in 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architecture,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 detects PCI conflict of NR cells and reports the NR cells suffering PCI conflict to OAM directly. The OAM </w:t>
            </w:r>
            <w:proofErr w:type="gram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is in charge of</w:t>
            </w:r>
            <w:proofErr w:type="gram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reassigning a new PCI for the NR cell subject to PCI conflict.</w:t>
            </w:r>
          </w:p>
          <w:p w14:paraId="67488A27" w14:textId="77777777" w:rsidR="009235C8" w:rsidRPr="008E4D2F" w:rsidRDefault="009235C8" w:rsidP="000E47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For distributed PCI assignment in 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architecture, the OAM assigns a list of PCIs for each NR cell and sends the configured PCI list to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-CU. If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 detects PCI conflict,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 may select a new PCI value from the preconfigured PCI list for the NR cell and send it to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-DU by either F1 Setup procedure or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-CU configuration update procedure.</w:t>
            </w:r>
          </w:p>
        </w:tc>
      </w:tr>
    </w:tbl>
    <w:p w14:paraId="4875D759" w14:textId="3BE28430" w:rsidR="00930369" w:rsidRDefault="007E0C15" w:rsidP="007E0C1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If mobile IAB-node and IAB-donor-CU are served by different OAMs, for </w:t>
      </w:r>
      <w:r w:rsidRPr="00B76E38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centralized PCI assignment in split </w:t>
      </w:r>
      <w:proofErr w:type="spellStart"/>
      <w:r w:rsidRPr="00B76E38">
        <w:rPr>
          <w:rFonts w:ascii="Times New Roman" w:eastAsia="Times New Roman" w:hAnsi="Times New Roman" w:cs="Times New Roman"/>
          <w:kern w:val="0"/>
          <w:sz w:val="20"/>
          <w:szCs w:val="20"/>
        </w:rPr>
        <w:t>gNB</w:t>
      </w:r>
      <w:proofErr w:type="spellEnd"/>
      <w:r w:rsidRPr="00B76E38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architecture,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it’s still the IAB-donor-CU to detect the PCI collision and the IAB-donor-CU may need to inform the </w:t>
      </w:r>
      <w:r w:rsidR="00F9271D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PCI 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collision to the mobile IAB-node so that the mobile IAB-node can request a new PCI from its serving OAM. </w:t>
      </w:r>
      <w:r w:rsidR="00F9271D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And based on the agreement in last meeting, </w:t>
      </w:r>
      <w:r w:rsidR="00C36C8A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it’s the </w:t>
      </w:r>
      <w:r w:rsidR="00C36C8A" w:rsidRPr="00C36C8A">
        <w:rPr>
          <w:rFonts w:ascii="Times New Roman" w:eastAsia="Times New Roman" w:hAnsi="Times New Roman" w:cs="Times New Roman"/>
          <w:kern w:val="0"/>
          <w:sz w:val="20"/>
          <w:szCs w:val="20"/>
        </w:rPr>
        <w:t>F1-terminating IAB-don</w:t>
      </w:r>
      <w:r w:rsidR="00C36C8A">
        <w:rPr>
          <w:rFonts w:ascii="Times New Roman" w:eastAsia="Times New Roman" w:hAnsi="Times New Roman" w:cs="Times New Roman"/>
          <w:kern w:val="0"/>
          <w:sz w:val="20"/>
          <w:szCs w:val="20"/>
        </w:rPr>
        <w:t>or-CU</w:t>
      </w:r>
      <w:r w:rsidR="00C36C8A" w:rsidRPr="00C36C8A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</w:t>
      </w:r>
      <w:r w:rsidR="00C36C8A">
        <w:rPr>
          <w:rFonts w:ascii="Times New Roman" w:eastAsia="Times New Roman" w:hAnsi="Times New Roman" w:cs="Times New Roman"/>
          <w:kern w:val="0"/>
          <w:sz w:val="20"/>
          <w:szCs w:val="20"/>
        </w:rPr>
        <w:t>to</w:t>
      </w:r>
      <w:r w:rsidR="00C36C8A" w:rsidRPr="00C36C8A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reconfigure PCI for the cell of mobile IAB-DU via existing F1AP messag</w:t>
      </w:r>
      <w:r w:rsidR="00C36C8A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e to avoid collision, therefore, the mobile IAB-node needs to report the new PCI obtained from its serving OAM to the </w:t>
      </w:r>
      <w:r w:rsidR="00C36C8A" w:rsidRPr="00C36C8A">
        <w:rPr>
          <w:rFonts w:ascii="Times New Roman" w:eastAsia="Times New Roman" w:hAnsi="Times New Roman" w:cs="Times New Roman"/>
          <w:kern w:val="0"/>
          <w:sz w:val="20"/>
          <w:szCs w:val="20"/>
        </w:rPr>
        <w:t>F1-terminating IAB-don</w:t>
      </w:r>
      <w:r w:rsidR="00C36C8A">
        <w:rPr>
          <w:rFonts w:ascii="Times New Roman" w:eastAsia="Times New Roman" w:hAnsi="Times New Roman" w:cs="Times New Roman"/>
          <w:kern w:val="0"/>
          <w:sz w:val="20"/>
          <w:szCs w:val="20"/>
        </w:rPr>
        <w:t>or-CU.</w:t>
      </w:r>
    </w:p>
    <w:p w14:paraId="2832E894" w14:textId="345545BA" w:rsidR="00C36C8A" w:rsidRPr="00484705" w:rsidRDefault="00C36C8A" w:rsidP="007E0C1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422A79"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 w:rsidR="00782B38"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For centralized PCI assignment in split </w:t>
      </w:r>
      <w:proofErr w:type="spellStart"/>
      <w:r w:rsidR="00782B38"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782B38"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architecture, IAB-donor-CU and mobile IAB-node have following enhancements to legacy PCI Optimization Function</w:t>
      </w:r>
      <w:r w:rsid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i</w:t>
      </w:r>
      <w:r w:rsidR="00CD5BAF" w:rsidRP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>f mobile IAB-node and IAB-donor-CU are served by different OAMs</w:t>
      </w:r>
      <w:r w:rsidR="00782B38"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07155592" w14:textId="1324CF06" w:rsidR="00782B38" w:rsidRPr="00484705" w:rsidRDefault="00782B38" w:rsidP="00484705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>IAB-donor-CU informs the PCI collision to mobile IAB-node</w:t>
      </w:r>
    </w:p>
    <w:p w14:paraId="0626DB88" w14:textId="1E48439F" w:rsidR="00782B38" w:rsidRPr="00484705" w:rsidRDefault="00782B38" w:rsidP="00484705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>Mobile IAB-node reports the new PCI to IAB-donor-CU</w:t>
      </w:r>
    </w:p>
    <w:p w14:paraId="11F1073D" w14:textId="378A4A6D" w:rsidR="007E0C15" w:rsidRDefault="003D4393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B76E38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For distributed PCI assignment in split </w:t>
      </w:r>
      <w:proofErr w:type="spellStart"/>
      <w:r w:rsidRPr="00B76E38">
        <w:rPr>
          <w:rFonts w:ascii="Times New Roman" w:eastAsia="Times New Roman" w:hAnsi="Times New Roman" w:cs="Times New Roman"/>
          <w:kern w:val="0"/>
          <w:sz w:val="20"/>
          <w:szCs w:val="20"/>
        </w:rPr>
        <w:t>gNB</w:t>
      </w:r>
      <w:proofErr w:type="spellEnd"/>
      <w:r w:rsidRPr="00B76E38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architecture,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</w:t>
      </w:r>
      <w:r w:rsidRPr="003D4393">
        <w:rPr>
          <w:rFonts w:ascii="Times New Roman" w:eastAsia="Times New Roman" w:hAnsi="Times New Roman" w:cs="Times New Roman"/>
          <w:kern w:val="0"/>
          <w:sz w:val="20"/>
          <w:szCs w:val="20"/>
        </w:rPr>
        <w:t>the OAM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of mobile IAB-node may</w:t>
      </w:r>
      <w:r w:rsidRPr="003D439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assign a list of PCIs for each NR cell and sends the configured PCI list to the 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mobile IAB-node, and the mobile IAB-node needs to report the PCI list to its IAB-donor-CU. Once the PCI collision has detected by the IAB-donor-CU, the IAB-donor-CU </w:t>
      </w:r>
      <w:r w:rsidRPr="003D439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may select a new PCI value from the PCI list for the NR cell and send it to the 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>mobile IAB-DU</w:t>
      </w:r>
      <w:r w:rsidRPr="003D439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by either F1 Setup procedure or </w:t>
      </w:r>
      <w:proofErr w:type="spellStart"/>
      <w:r w:rsidRPr="003D4393">
        <w:rPr>
          <w:rFonts w:ascii="Times New Roman" w:eastAsia="Times New Roman" w:hAnsi="Times New Roman" w:cs="Times New Roman"/>
          <w:kern w:val="0"/>
          <w:sz w:val="20"/>
          <w:szCs w:val="20"/>
        </w:rPr>
        <w:t>gNB</w:t>
      </w:r>
      <w:proofErr w:type="spellEnd"/>
      <w:r w:rsidRPr="003D4393">
        <w:rPr>
          <w:rFonts w:ascii="Times New Roman" w:eastAsia="Times New Roman" w:hAnsi="Times New Roman" w:cs="Times New Roman"/>
          <w:kern w:val="0"/>
          <w:sz w:val="20"/>
          <w:szCs w:val="20"/>
        </w:rPr>
        <w:t>-CU configuration update procedure.</w:t>
      </w:r>
    </w:p>
    <w:p w14:paraId="763F710C" w14:textId="06D25765" w:rsidR="00921A39" w:rsidRDefault="00921A39" w:rsidP="00921A3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422A79">
        <w:rPr>
          <w:rFonts w:ascii="Times New Roman" w:hAnsi="Times New Roman" w:cs="Times New Roman"/>
          <w:b/>
          <w:bCs/>
          <w:kern w:val="0"/>
          <w:sz w:val="20"/>
          <w:szCs w:val="20"/>
        </w:rPr>
        <w:t>4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For </w:t>
      </w:r>
      <w:r w:rsidRPr="00921A3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distributed 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PCI assignment in split </w:t>
      </w:r>
      <w:proofErr w:type="spellStart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architecture,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mobile IAB-node may report the PCI list assigned by its OAM to IAB-donor-CU, and </w:t>
      </w:r>
      <w:r w:rsidRPr="00921A39">
        <w:rPr>
          <w:rFonts w:ascii="Times New Roman" w:hAnsi="Times New Roman" w:cs="Times New Roman"/>
          <w:b/>
          <w:bCs/>
          <w:kern w:val="0"/>
          <w:sz w:val="20"/>
          <w:szCs w:val="20"/>
        </w:rPr>
        <w:t>the IAB-donor-CU may select a new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PCI value from the PCI list to upon PCI collision,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i</w:t>
      </w:r>
      <w:r w:rsidRP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>f mobile IAB-node and IAB-donor-CU are served by different OAMs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lastRenderedPageBreak/>
        <w:t>Conclusion</w:t>
      </w:r>
    </w:p>
    <w:p w14:paraId="5E1D131E" w14:textId="751AEA6E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potential i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nterference mitigation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23184145" w14:textId="77777777" w:rsidR="00546280" w:rsidRPr="00A70D29" w:rsidRDefault="00546280" w:rsidP="0054628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Observation 1: In case of partial migration, F1-terminating IAB-donor-CU can detect the potential PCI collision based on the serving cell information and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neighbour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cell information in the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message if there is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38A1ABE8" w14:textId="77777777" w:rsidR="00422A79" w:rsidRPr="00486BA3" w:rsidRDefault="00422A79" w:rsidP="00422A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6BA3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486BA3">
        <w:rPr>
          <w:rFonts w:ascii="Times New Roman" w:hAnsi="Times New Roman" w:cs="Times New Roman"/>
          <w:b/>
          <w:bCs/>
          <w:kern w:val="0"/>
          <w:sz w:val="20"/>
          <w:szCs w:val="20"/>
        </w:rPr>
        <w:t>roposal 1: To avoid PCI collision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of mobile IAB-node</w:t>
      </w:r>
      <w:r w:rsidRPr="00486BA3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</w:t>
      </w:r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F1-terminating IAB-donor-CU of the mobile IAB-node can activate a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target </w:t>
      </w:r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cell with new PCI in the same IAB-DU, and perform </w:t>
      </w:r>
      <w:proofErr w:type="gramStart"/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handover</w:t>
      </w:r>
      <w:proofErr w:type="gramEnd"/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all connected UEs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to the target cell </w:t>
      </w:r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via the Intra-</w:t>
      </w:r>
      <w:proofErr w:type="spellStart"/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handover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</w:t>
      </w:r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49898755" w14:textId="2386599B" w:rsidR="0037691B" w:rsidRDefault="0037691B" w:rsidP="0037691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422A79"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In case of partial migration without </w:t>
      </w:r>
      <w:proofErr w:type="spellStart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connection, RAN3 to consider the PCI collision detection after the case has been acknowledged.</w:t>
      </w:r>
    </w:p>
    <w:p w14:paraId="27CA8CF3" w14:textId="4BBE7AD7" w:rsidR="00FF72CB" w:rsidRPr="00484705" w:rsidRDefault="00FF72CB" w:rsidP="00FF72C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422A79"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For centralized PCI assignment in split </w:t>
      </w:r>
      <w:proofErr w:type="spellStart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architecture, IAB-donor-CU and mobile IAB-node have following enhancements to legacy PCI Optimization Function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i</w:t>
      </w:r>
      <w:r w:rsidRP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>f mobile IAB-node and IAB-donor-CU are served by different OAMs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208E01C6" w14:textId="77777777" w:rsidR="00FF72CB" w:rsidRPr="00484705" w:rsidRDefault="00FF72CB" w:rsidP="00FF72CB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>IAB-donor-CU informs the PCI collision to mobile IAB-node</w:t>
      </w:r>
    </w:p>
    <w:p w14:paraId="02E6C4F4" w14:textId="77777777" w:rsidR="00FF72CB" w:rsidRPr="00484705" w:rsidRDefault="00FF72CB" w:rsidP="00FF72CB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>Mobile IAB-node reports the new PCI to IAB-donor-CU</w:t>
      </w:r>
    </w:p>
    <w:p w14:paraId="6A1E64B5" w14:textId="4B1A7C8D" w:rsidR="00FF72CB" w:rsidRPr="00484705" w:rsidRDefault="00FF72CB" w:rsidP="00FF72C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422A79">
        <w:rPr>
          <w:rFonts w:ascii="Times New Roman" w:hAnsi="Times New Roman" w:cs="Times New Roman"/>
          <w:b/>
          <w:bCs/>
          <w:kern w:val="0"/>
          <w:sz w:val="20"/>
          <w:szCs w:val="20"/>
        </w:rPr>
        <w:t>4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For </w:t>
      </w:r>
      <w:r w:rsidRPr="00921A3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distributed 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PCI assignment in split </w:t>
      </w:r>
      <w:proofErr w:type="spellStart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architecture,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mobile IAB-node may report the PCI list assigned by its OAM to IAB-donor-CU, and </w:t>
      </w:r>
      <w:r w:rsidRPr="00921A39">
        <w:rPr>
          <w:rFonts w:ascii="Times New Roman" w:hAnsi="Times New Roman" w:cs="Times New Roman"/>
          <w:b/>
          <w:bCs/>
          <w:kern w:val="0"/>
          <w:sz w:val="20"/>
          <w:szCs w:val="20"/>
        </w:rPr>
        <w:t>the IAB-donor-CU may select a new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PCI value from the PCI list to upon PCI collision,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i</w:t>
      </w:r>
      <w:r w:rsidRP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>f mobile IAB-node and IAB-donor-CU are served by different OAMs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1691EE7B" w14:textId="6310101A" w:rsidR="00FF3A0E" w:rsidRDefault="00FF3A0E" w:rsidP="002F0CB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RAN3 117-e meeting.</w:t>
      </w:r>
    </w:p>
    <w:p w14:paraId="7A46ACE1" w14:textId="2239790F" w:rsidR="009B67DC" w:rsidRPr="009B67DC" w:rsidRDefault="009B67DC" w:rsidP="009B67DC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RAN3 117bis-e meeting.</w:t>
      </w:r>
    </w:p>
    <w:p w14:paraId="2AFF1D3C" w14:textId="6D0FC7A0" w:rsidR="00E07038" w:rsidRPr="00546280" w:rsidRDefault="00590794" w:rsidP="00944C8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3GPP TS 38.</w:t>
      </w:r>
      <w:r w:rsidR="0042219E">
        <w:rPr>
          <w:rFonts w:ascii="Times New Roman" w:eastAsia="宋体" w:hAnsi="Times New Roman" w:cs="Times New Roman" w:hint="eastAsia"/>
          <w:kern w:val="0"/>
          <w:sz w:val="20"/>
          <w:lang w:val="x-none"/>
        </w:rPr>
        <w:t>4</w:t>
      </w:r>
      <w:r w:rsidR="0042219E">
        <w:rPr>
          <w:rFonts w:ascii="Times New Roman" w:eastAsia="宋体" w:hAnsi="Times New Roman" w:cs="Times New Roman"/>
          <w:kern w:val="0"/>
          <w:sz w:val="20"/>
          <w:lang w:val="x-none"/>
        </w:rPr>
        <w:t>01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Pr="0059079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Architecture description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Pr="00D13826">
        <w:rPr>
          <w:rFonts w:ascii="Times New Roman" w:eastAsia="宋体" w:hAnsi="Times New Roman" w:cs="Times New Roman"/>
          <w:kern w:val="0"/>
          <w:sz w:val="20"/>
          <w:lang w:val="x-none"/>
        </w:rPr>
        <w:t>(Release 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7</w:t>
      </w:r>
      <w:r w:rsidRPr="00D13826">
        <w:rPr>
          <w:rFonts w:ascii="Times New Roman" w:eastAsia="宋体" w:hAnsi="Times New Roman" w:cs="Times New Roman"/>
          <w:kern w:val="0"/>
          <w:sz w:val="20"/>
          <w:lang w:val="x-none"/>
        </w:rPr>
        <w:t>)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E07038" w:rsidRPr="00546280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9F35C" w14:textId="77777777" w:rsidR="00C00981" w:rsidRDefault="00C00981" w:rsidP="00AA3FAE">
      <w:r>
        <w:separator/>
      </w:r>
    </w:p>
  </w:endnote>
  <w:endnote w:type="continuationSeparator" w:id="0">
    <w:p w14:paraId="46FC82BD" w14:textId="77777777" w:rsidR="00C00981" w:rsidRDefault="00C00981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4B02E" w14:textId="77777777" w:rsidR="00C00981" w:rsidRDefault="00C00981" w:rsidP="00AA3FAE">
      <w:r>
        <w:separator/>
      </w:r>
    </w:p>
  </w:footnote>
  <w:footnote w:type="continuationSeparator" w:id="0">
    <w:p w14:paraId="38B0EBBE" w14:textId="77777777" w:rsidR="00C00981" w:rsidRDefault="00C00981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8E7410"/>
    <w:multiLevelType w:val="hybridMultilevel"/>
    <w:tmpl w:val="BE961BDC"/>
    <w:lvl w:ilvl="0" w:tplc="4B764A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3E58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443CF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224E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6870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CA58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4250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3ECD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B077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D433E5A"/>
    <w:multiLevelType w:val="hybridMultilevel"/>
    <w:tmpl w:val="94C49950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7961385">
    <w:abstractNumId w:val="2"/>
  </w:num>
  <w:num w:numId="2" w16cid:durableId="236475456">
    <w:abstractNumId w:val="5"/>
  </w:num>
  <w:num w:numId="3" w16cid:durableId="407728597">
    <w:abstractNumId w:val="6"/>
  </w:num>
  <w:num w:numId="4" w16cid:durableId="1607077825">
    <w:abstractNumId w:val="8"/>
  </w:num>
  <w:num w:numId="5" w16cid:durableId="99103398">
    <w:abstractNumId w:val="0"/>
  </w:num>
  <w:num w:numId="6" w16cid:durableId="1847552592">
    <w:abstractNumId w:val="1"/>
  </w:num>
  <w:num w:numId="7" w16cid:durableId="556479874">
    <w:abstractNumId w:val="9"/>
  </w:num>
  <w:num w:numId="8" w16cid:durableId="1933591050">
    <w:abstractNumId w:val="3"/>
  </w:num>
  <w:num w:numId="9" w16cid:durableId="746877080">
    <w:abstractNumId w:val="7"/>
  </w:num>
  <w:num w:numId="10" w16cid:durableId="893665946">
    <w:abstractNumId w:val="4"/>
  </w:num>
  <w:num w:numId="11" w16cid:durableId="14999547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2004"/>
    <w:rsid w:val="00022A6F"/>
    <w:rsid w:val="00024188"/>
    <w:rsid w:val="00026089"/>
    <w:rsid w:val="000306D0"/>
    <w:rsid w:val="00032116"/>
    <w:rsid w:val="00035328"/>
    <w:rsid w:val="00035983"/>
    <w:rsid w:val="00047E11"/>
    <w:rsid w:val="000505CB"/>
    <w:rsid w:val="00053336"/>
    <w:rsid w:val="000566E1"/>
    <w:rsid w:val="00060A16"/>
    <w:rsid w:val="000613CF"/>
    <w:rsid w:val="0006683B"/>
    <w:rsid w:val="00070D39"/>
    <w:rsid w:val="00072D31"/>
    <w:rsid w:val="0007706D"/>
    <w:rsid w:val="000821E8"/>
    <w:rsid w:val="00086B95"/>
    <w:rsid w:val="000874BB"/>
    <w:rsid w:val="000942DC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4846"/>
    <w:rsid w:val="000D5F51"/>
    <w:rsid w:val="000E24D5"/>
    <w:rsid w:val="000E52E6"/>
    <w:rsid w:val="000E61B1"/>
    <w:rsid w:val="000E651D"/>
    <w:rsid w:val="000E706D"/>
    <w:rsid w:val="000F0260"/>
    <w:rsid w:val="000F6A9D"/>
    <w:rsid w:val="000F7E87"/>
    <w:rsid w:val="00100689"/>
    <w:rsid w:val="00101812"/>
    <w:rsid w:val="00107AD8"/>
    <w:rsid w:val="00111B28"/>
    <w:rsid w:val="0011469E"/>
    <w:rsid w:val="00121955"/>
    <w:rsid w:val="00123848"/>
    <w:rsid w:val="00130515"/>
    <w:rsid w:val="00134A9A"/>
    <w:rsid w:val="00134C0A"/>
    <w:rsid w:val="001353CD"/>
    <w:rsid w:val="00137B7C"/>
    <w:rsid w:val="001403B2"/>
    <w:rsid w:val="0015062E"/>
    <w:rsid w:val="0015523D"/>
    <w:rsid w:val="001556FC"/>
    <w:rsid w:val="00161A1A"/>
    <w:rsid w:val="001623DF"/>
    <w:rsid w:val="00162FFF"/>
    <w:rsid w:val="0017256C"/>
    <w:rsid w:val="00172D96"/>
    <w:rsid w:val="0017356D"/>
    <w:rsid w:val="001847E8"/>
    <w:rsid w:val="0018528A"/>
    <w:rsid w:val="00190FAF"/>
    <w:rsid w:val="00192908"/>
    <w:rsid w:val="0019499C"/>
    <w:rsid w:val="0019595A"/>
    <w:rsid w:val="001A2383"/>
    <w:rsid w:val="001A38C6"/>
    <w:rsid w:val="001A44C7"/>
    <w:rsid w:val="001B31AB"/>
    <w:rsid w:val="001B4DEE"/>
    <w:rsid w:val="001B62E7"/>
    <w:rsid w:val="001C0F1D"/>
    <w:rsid w:val="001C3355"/>
    <w:rsid w:val="001D1646"/>
    <w:rsid w:val="001D5289"/>
    <w:rsid w:val="001D64DD"/>
    <w:rsid w:val="001D781E"/>
    <w:rsid w:val="001E31B9"/>
    <w:rsid w:val="001E3861"/>
    <w:rsid w:val="001E3B95"/>
    <w:rsid w:val="001F0325"/>
    <w:rsid w:val="001F34D3"/>
    <w:rsid w:val="001F5824"/>
    <w:rsid w:val="00200B66"/>
    <w:rsid w:val="002070BF"/>
    <w:rsid w:val="00213791"/>
    <w:rsid w:val="0022248C"/>
    <w:rsid w:val="00222F62"/>
    <w:rsid w:val="00227B13"/>
    <w:rsid w:val="00230B9F"/>
    <w:rsid w:val="00232519"/>
    <w:rsid w:val="00233CFB"/>
    <w:rsid w:val="00234C1A"/>
    <w:rsid w:val="0024433A"/>
    <w:rsid w:val="00245134"/>
    <w:rsid w:val="00245E3F"/>
    <w:rsid w:val="002500C6"/>
    <w:rsid w:val="00252938"/>
    <w:rsid w:val="00256265"/>
    <w:rsid w:val="00256648"/>
    <w:rsid w:val="00261529"/>
    <w:rsid w:val="002719DB"/>
    <w:rsid w:val="00273BFE"/>
    <w:rsid w:val="00277010"/>
    <w:rsid w:val="00281EF8"/>
    <w:rsid w:val="00283294"/>
    <w:rsid w:val="00286C7E"/>
    <w:rsid w:val="0028711C"/>
    <w:rsid w:val="00292940"/>
    <w:rsid w:val="002A31BD"/>
    <w:rsid w:val="002A539D"/>
    <w:rsid w:val="002A5557"/>
    <w:rsid w:val="002A7108"/>
    <w:rsid w:val="002B0937"/>
    <w:rsid w:val="002B23C1"/>
    <w:rsid w:val="002B61AB"/>
    <w:rsid w:val="002B7FB5"/>
    <w:rsid w:val="002C0464"/>
    <w:rsid w:val="002C1BFE"/>
    <w:rsid w:val="002C3C9F"/>
    <w:rsid w:val="002C6DA5"/>
    <w:rsid w:val="002D1AB8"/>
    <w:rsid w:val="002D1BDF"/>
    <w:rsid w:val="002D370E"/>
    <w:rsid w:val="002D6F0D"/>
    <w:rsid w:val="002E166E"/>
    <w:rsid w:val="002E24F9"/>
    <w:rsid w:val="002F0CB9"/>
    <w:rsid w:val="002F1916"/>
    <w:rsid w:val="002F231B"/>
    <w:rsid w:val="002F4481"/>
    <w:rsid w:val="002F7DD1"/>
    <w:rsid w:val="00300F1D"/>
    <w:rsid w:val="00304AB3"/>
    <w:rsid w:val="003169C7"/>
    <w:rsid w:val="00317068"/>
    <w:rsid w:val="0031760A"/>
    <w:rsid w:val="003179AD"/>
    <w:rsid w:val="00320575"/>
    <w:rsid w:val="0032139A"/>
    <w:rsid w:val="0032255E"/>
    <w:rsid w:val="0032288E"/>
    <w:rsid w:val="00324B30"/>
    <w:rsid w:val="0033243A"/>
    <w:rsid w:val="00340F49"/>
    <w:rsid w:val="00341F62"/>
    <w:rsid w:val="00343D32"/>
    <w:rsid w:val="0035034A"/>
    <w:rsid w:val="003521C3"/>
    <w:rsid w:val="00362F2C"/>
    <w:rsid w:val="00364AC3"/>
    <w:rsid w:val="00373427"/>
    <w:rsid w:val="0037691B"/>
    <w:rsid w:val="00384956"/>
    <w:rsid w:val="00385E03"/>
    <w:rsid w:val="003901C4"/>
    <w:rsid w:val="003912D7"/>
    <w:rsid w:val="003976B5"/>
    <w:rsid w:val="003A0B1A"/>
    <w:rsid w:val="003A18F1"/>
    <w:rsid w:val="003A4A2A"/>
    <w:rsid w:val="003A5735"/>
    <w:rsid w:val="003A68EF"/>
    <w:rsid w:val="003B170E"/>
    <w:rsid w:val="003B23AD"/>
    <w:rsid w:val="003B3394"/>
    <w:rsid w:val="003B4C4B"/>
    <w:rsid w:val="003B753E"/>
    <w:rsid w:val="003C172B"/>
    <w:rsid w:val="003C333E"/>
    <w:rsid w:val="003C6CEF"/>
    <w:rsid w:val="003D1F7C"/>
    <w:rsid w:val="003D4393"/>
    <w:rsid w:val="003E25E3"/>
    <w:rsid w:val="003E65A1"/>
    <w:rsid w:val="003F22E5"/>
    <w:rsid w:val="003F2D27"/>
    <w:rsid w:val="003F2E3B"/>
    <w:rsid w:val="003F5217"/>
    <w:rsid w:val="00402DFA"/>
    <w:rsid w:val="0040415F"/>
    <w:rsid w:val="0040527B"/>
    <w:rsid w:val="00405361"/>
    <w:rsid w:val="004054EB"/>
    <w:rsid w:val="00410D54"/>
    <w:rsid w:val="004139B5"/>
    <w:rsid w:val="004139F0"/>
    <w:rsid w:val="00415D56"/>
    <w:rsid w:val="0042219E"/>
    <w:rsid w:val="00422A79"/>
    <w:rsid w:val="00431BB4"/>
    <w:rsid w:val="00437048"/>
    <w:rsid w:val="0043789D"/>
    <w:rsid w:val="00445267"/>
    <w:rsid w:val="00445609"/>
    <w:rsid w:val="004561FF"/>
    <w:rsid w:val="00460BC2"/>
    <w:rsid w:val="00460E08"/>
    <w:rsid w:val="00461164"/>
    <w:rsid w:val="0046367F"/>
    <w:rsid w:val="004646DC"/>
    <w:rsid w:val="00470777"/>
    <w:rsid w:val="004774BA"/>
    <w:rsid w:val="0047779A"/>
    <w:rsid w:val="00482C89"/>
    <w:rsid w:val="00482EDB"/>
    <w:rsid w:val="00484705"/>
    <w:rsid w:val="00486BA3"/>
    <w:rsid w:val="00487DC1"/>
    <w:rsid w:val="00492019"/>
    <w:rsid w:val="00493281"/>
    <w:rsid w:val="004958CF"/>
    <w:rsid w:val="00496C05"/>
    <w:rsid w:val="004A40B8"/>
    <w:rsid w:val="004A4FFF"/>
    <w:rsid w:val="004A7B5F"/>
    <w:rsid w:val="004B04C5"/>
    <w:rsid w:val="004B453E"/>
    <w:rsid w:val="004B516C"/>
    <w:rsid w:val="004B5B72"/>
    <w:rsid w:val="004B5BA7"/>
    <w:rsid w:val="004B5F55"/>
    <w:rsid w:val="004C1E05"/>
    <w:rsid w:val="004C4B68"/>
    <w:rsid w:val="004C5905"/>
    <w:rsid w:val="004C753F"/>
    <w:rsid w:val="004D23F2"/>
    <w:rsid w:val="004D54D2"/>
    <w:rsid w:val="004E0968"/>
    <w:rsid w:val="004E3894"/>
    <w:rsid w:val="004E7396"/>
    <w:rsid w:val="004F17F8"/>
    <w:rsid w:val="004F1FBE"/>
    <w:rsid w:val="004F638B"/>
    <w:rsid w:val="004F7753"/>
    <w:rsid w:val="004F7F21"/>
    <w:rsid w:val="004F7FA8"/>
    <w:rsid w:val="00502253"/>
    <w:rsid w:val="0052218C"/>
    <w:rsid w:val="005237AE"/>
    <w:rsid w:val="00524065"/>
    <w:rsid w:val="00524DF3"/>
    <w:rsid w:val="00525376"/>
    <w:rsid w:val="00530F9F"/>
    <w:rsid w:val="00531731"/>
    <w:rsid w:val="00532DEC"/>
    <w:rsid w:val="005347E6"/>
    <w:rsid w:val="005355E0"/>
    <w:rsid w:val="00542822"/>
    <w:rsid w:val="00542A22"/>
    <w:rsid w:val="00546280"/>
    <w:rsid w:val="00547870"/>
    <w:rsid w:val="005508EC"/>
    <w:rsid w:val="00550D47"/>
    <w:rsid w:val="00555709"/>
    <w:rsid w:val="00555D66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34BC"/>
    <w:rsid w:val="005750E7"/>
    <w:rsid w:val="00576069"/>
    <w:rsid w:val="00583B3A"/>
    <w:rsid w:val="00587CBF"/>
    <w:rsid w:val="00590794"/>
    <w:rsid w:val="005939B2"/>
    <w:rsid w:val="00594E0D"/>
    <w:rsid w:val="005A0141"/>
    <w:rsid w:val="005A6CE0"/>
    <w:rsid w:val="005A7B59"/>
    <w:rsid w:val="005B4B3A"/>
    <w:rsid w:val="005B7597"/>
    <w:rsid w:val="005C686B"/>
    <w:rsid w:val="005C6EEA"/>
    <w:rsid w:val="005D286B"/>
    <w:rsid w:val="005E550E"/>
    <w:rsid w:val="005E7BCB"/>
    <w:rsid w:val="005F43A6"/>
    <w:rsid w:val="005F5BD1"/>
    <w:rsid w:val="00600143"/>
    <w:rsid w:val="006040E0"/>
    <w:rsid w:val="00604CC3"/>
    <w:rsid w:val="00605573"/>
    <w:rsid w:val="00607C4A"/>
    <w:rsid w:val="00612ED9"/>
    <w:rsid w:val="006215A5"/>
    <w:rsid w:val="006231C3"/>
    <w:rsid w:val="00623643"/>
    <w:rsid w:val="0062366C"/>
    <w:rsid w:val="00625208"/>
    <w:rsid w:val="0062793F"/>
    <w:rsid w:val="00632A14"/>
    <w:rsid w:val="0063421A"/>
    <w:rsid w:val="00644E2C"/>
    <w:rsid w:val="00650299"/>
    <w:rsid w:val="00662469"/>
    <w:rsid w:val="00666EA1"/>
    <w:rsid w:val="00674202"/>
    <w:rsid w:val="006749D1"/>
    <w:rsid w:val="00677632"/>
    <w:rsid w:val="00683F02"/>
    <w:rsid w:val="00683F4C"/>
    <w:rsid w:val="00684A40"/>
    <w:rsid w:val="00687312"/>
    <w:rsid w:val="00687695"/>
    <w:rsid w:val="00696619"/>
    <w:rsid w:val="006A3137"/>
    <w:rsid w:val="006A3783"/>
    <w:rsid w:val="006A53D6"/>
    <w:rsid w:val="006B0FE9"/>
    <w:rsid w:val="006B2280"/>
    <w:rsid w:val="006C1E84"/>
    <w:rsid w:val="006D01B7"/>
    <w:rsid w:val="006D1A36"/>
    <w:rsid w:val="006D2AEE"/>
    <w:rsid w:val="006D6F3D"/>
    <w:rsid w:val="006E2F17"/>
    <w:rsid w:val="006E554E"/>
    <w:rsid w:val="006E5A0A"/>
    <w:rsid w:val="006E7976"/>
    <w:rsid w:val="006E7CED"/>
    <w:rsid w:val="006F50AC"/>
    <w:rsid w:val="006F7FD3"/>
    <w:rsid w:val="00703BAA"/>
    <w:rsid w:val="00705A56"/>
    <w:rsid w:val="0070723A"/>
    <w:rsid w:val="00707369"/>
    <w:rsid w:val="00710426"/>
    <w:rsid w:val="00712644"/>
    <w:rsid w:val="00715902"/>
    <w:rsid w:val="007209B0"/>
    <w:rsid w:val="00730BC7"/>
    <w:rsid w:val="00732AEF"/>
    <w:rsid w:val="00736D28"/>
    <w:rsid w:val="00737853"/>
    <w:rsid w:val="007452B6"/>
    <w:rsid w:val="00746F35"/>
    <w:rsid w:val="0075025C"/>
    <w:rsid w:val="0075187D"/>
    <w:rsid w:val="00751A34"/>
    <w:rsid w:val="00754B91"/>
    <w:rsid w:val="00765057"/>
    <w:rsid w:val="0076720C"/>
    <w:rsid w:val="00770C1B"/>
    <w:rsid w:val="00772978"/>
    <w:rsid w:val="00772E0B"/>
    <w:rsid w:val="00780AEB"/>
    <w:rsid w:val="0078172C"/>
    <w:rsid w:val="00782B38"/>
    <w:rsid w:val="007846F4"/>
    <w:rsid w:val="007A2063"/>
    <w:rsid w:val="007C4A72"/>
    <w:rsid w:val="007D06AC"/>
    <w:rsid w:val="007E0C15"/>
    <w:rsid w:val="007E1B20"/>
    <w:rsid w:val="007F0029"/>
    <w:rsid w:val="007F1EE6"/>
    <w:rsid w:val="007F2A4D"/>
    <w:rsid w:val="007F2E5B"/>
    <w:rsid w:val="007F6218"/>
    <w:rsid w:val="007F72C7"/>
    <w:rsid w:val="00811326"/>
    <w:rsid w:val="008127B6"/>
    <w:rsid w:val="00813C06"/>
    <w:rsid w:val="00820313"/>
    <w:rsid w:val="00825F46"/>
    <w:rsid w:val="00832BE1"/>
    <w:rsid w:val="00835D29"/>
    <w:rsid w:val="00836D01"/>
    <w:rsid w:val="0084197E"/>
    <w:rsid w:val="00843CDE"/>
    <w:rsid w:val="00844B51"/>
    <w:rsid w:val="00846F8C"/>
    <w:rsid w:val="008522C2"/>
    <w:rsid w:val="00864DEE"/>
    <w:rsid w:val="00865F65"/>
    <w:rsid w:val="00866ED3"/>
    <w:rsid w:val="00870252"/>
    <w:rsid w:val="008714A7"/>
    <w:rsid w:val="00881EEB"/>
    <w:rsid w:val="0088224B"/>
    <w:rsid w:val="00885223"/>
    <w:rsid w:val="00885F05"/>
    <w:rsid w:val="0088742B"/>
    <w:rsid w:val="00887EAA"/>
    <w:rsid w:val="008924B1"/>
    <w:rsid w:val="0089705F"/>
    <w:rsid w:val="008974CD"/>
    <w:rsid w:val="008A6D83"/>
    <w:rsid w:val="008B1345"/>
    <w:rsid w:val="008B1CAD"/>
    <w:rsid w:val="008B3D16"/>
    <w:rsid w:val="008B4CFB"/>
    <w:rsid w:val="008B7932"/>
    <w:rsid w:val="008B7D21"/>
    <w:rsid w:val="008C1569"/>
    <w:rsid w:val="008C26CC"/>
    <w:rsid w:val="008C7F51"/>
    <w:rsid w:val="008D3D70"/>
    <w:rsid w:val="008D7810"/>
    <w:rsid w:val="008E0ECE"/>
    <w:rsid w:val="008E4D2F"/>
    <w:rsid w:val="008E59A7"/>
    <w:rsid w:val="008F063F"/>
    <w:rsid w:val="008F2DC7"/>
    <w:rsid w:val="008F2F0A"/>
    <w:rsid w:val="008F3B09"/>
    <w:rsid w:val="00906767"/>
    <w:rsid w:val="009113BD"/>
    <w:rsid w:val="009174F1"/>
    <w:rsid w:val="00920490"/>
    <w:rsid w:val="00921A39"/>
    <w:rsid w:val="00922240"/>
    <w:rsid w:val="009235C8"/>
    <w:rsid w:val="009259CA"/>
    <w:rsid w:val="0092699C"/>
    <w:rsid w:val="00926DCD"/>
    <w:rsid w:val="00930369"/>
    <w:rsid w:val="00930F2B"/>
    <w:rsid w:val="00932D3E"/>
    <w:rsid w:val="00943A26"/>
    <w:rsid w:val="00944C84"/>
    <w:rsid w:val="00952028"/>
    <w:rsid w:val="00952057"/>
    <w:rsid w:val="0095297E"/>
    <w:rsid w:val="00953570"/>
    <w:rsid w:val="009551A9"/>
    <w:rsid w:val="00957C7B"/>
    <w:rsid w:val="009607EC"/>
    <w:rsid w:val="00961CE9"/>
    <w:rsid w:val="009658E1"/>
    <w:rsid w:val="009912C5"/>
    <w:rsid w:val="00992405"/>
    <w:rsid w:val="009926ED"/>
    <w:rsid w:val="00994662"/>
    <w:rsid w:val="00994907"/>
    <w:rsid w:val="009A07F1"/>
    <w:rsid w:val="009B000E"/>
    <w:rsid w:val="009B19F1"/>
    <w:rsid w:val="009B3EF1"/>
    <w:rsid w:val="009B67DC"/>
    <w:rsid w:val="009C3C24"/>
    <w:rsid w:val="009C6DD1"/>
    <w:rsid w:val="009C7F3D"/>
    <w:rsid w:val="009D5AE6"/>
    <w:rsid w:val="009D6382"/>
    <w:rsid w:val="009D7335"/>
    <w:rsid w:val="009E4AD9"/>
    <w:rsid w:val="009E4D5F"/>
    <w:rsid w:val="009E506A"/>
    <w:rsid w:val="009E7474"/>
    <w:rsid w:val="009F1E23"/>
    <w:rsid w:val="009F71E8"/>
    <w:rsid w:val="00A035AE"/>
    <w:rsid w:val="00A038AA"/>
    <w:rsid w:val="00A04D91"/>
    <w:rsid w:val="00A16F17"/>
    <w:rsid w:val="00A2110E"/>
    <w:rsid w:val="00A218C1"/>
    <w:rsid w:val="00A21C09"/>
    <w:rsid w:val="00A24E34"/>
    <w:rsid w:val="00A26D85"/>
    <w:rsid w:val="00A26E1D"/>
    <w:rsid w:val="00A27064"/>
    <w:rsid w:val="00A32157"/>
    <w:rsid w:val="00A37406"/>
    <w:rsid w:val="00A45B7F"/>
    <w:rsid w:val="00A46452"/>
    <w:rsid w:val="00A51D78"/>
    <w:rsid w:val="00A537B0"/>
    <w:rsid w:val="00A53E8A"/>
    <w:rsid w:val="00A5584E"/>
    <w:rsid w:val="00A601A2"/>
    <w:rsid w:val="00A661E2"/>
    <w:rsid w:val="00A7002F"/>
    <w:rsid w:val="00A701F8"/>
    <w:rsid w:val="00A70D29"/>
    <w:rsid w:val="00A765AC"/>
    <w:rsid w:val="00A77D6B"/>
    <w:rsid w:val="00A81646"/>
    <w:rsid w:val="00A84C0F"/>
    <w:rsid w:val="00A84D97"/>
    <w:rsid w:val="00A85027"/>
    <w:rsid w:val="00A93291"/>
    <w:rsid w:val="00A933F5"/>
    <w:rsid w:val="00AA290B"/>
    <w:rsid w:val="00AA2E85"/>
    <w:rsid w:val="00AA3FAE"/>
    <w:rsid w:val="00AA70B5"/>
    <w:rsid w:val="00AA7EAE"/>
    <w:rsid w:val="00AB0A5A"/>
    <w:rsid w:val="00AB36CC"/>
    <w:rsid w:val="00AB47C7"/>
    <w:rsid w:val="00AC25E2"/>
    <w:rsid w:val="00AC3051"/>
    <w:rsid w:val="00AC44C3"/>
    <w:rsid w:val="00AC553A"/>
    <w:rsid w:val="00AC6826"/>
    <w:rsid w:val="00AE4ACB"/>
    <w:rsid w:val="00AE669B"/>
    <w:rsid w:val="00AF05F2"/>
    <w:rsid w:val="00AF4491"/>
    <w:rsid w:val="00AF7716"/>
    <w:rsid w:val="00B0062A"/>
    <w:rsid w:val="00B02263"/>
    <w:rsid w:val="00B03B44"/>
    <w:rsid w:val="00B06DA9"/>
    <w:rsid w:val="00B12328"/>
    <w:rsid w:val="00B17651"/>
    <w:rsid w:val="00B2364A"/>
    <w:rsid w:val="00B25314"/>
    <w:rsid w:val="00B26539"/>
    <w:rsid w:val="00B33EE7"/>
    <w:rsid w:val="00B34B5A"/>
    <w:rsid w:val="00B40018"/>
    <w:rsid w:val="00B403D4"/>
    <w:rsid w:val="00B447E6"/>
    <w:rsid w:val="00B46699"/>
    <w:rsid w:val="00B50360"/>
    <w:rsid w:val="00B54002"/>
    <w:rsid w:val="00B54FE2"/>
    <w:rsid w:val="00B65204"/>
    <w:rsid w:val="00B72A52"/>
    <w:rsid w:val="00B74D0D"/>
    <w:rsid w:val="00B75694"/>
    <w:rsid w:val="00B76E38"/>
    <w:rsid w:val="00B83738"/>
    <w:rsid w:val="00B862CA"/>
    <w:rsid w:val="00B95D51"/>
    <w:rsid w:val="00B97129"/>
    <w:rsid w:val="00BA0DA5"/>
    <w:rsid w:val="00BA2D04"/>
    <w:rsid w:val="00BA5E1C"/>
    <w:rsid w:val="00BA5EDA"/>
    <w:rsid w:val="00BA6553"/>
    <w:rsid w:val="00BA684C"/>
    <w:rsid w:val="00BB2FE5"/>
    <w:rsid w:val="00BB35E5"/>
    <w:rsid w:val="00BB4827"/>
    <w:rsid w:val="00BB4AC3"/>
    <w:rsid w:val="00BC12B3"/>
    <w:rsid w:val="00BC78CF"/>
    <w:rsid w:val="00BC7983"/>
    <w:rsid w:val="00BD17DA"/>
    <w:rsid w:val="00BD48C4"/>
    <w:rsid w:val="00BD6541"/>
    <w:rsid w:val="00BD738F"/>
    <w:rsid w:val="00BE0BE9"/>
    <w:rsid w:val="00BE22B6"/>
    <w:rsid w:val="00BE70DD"/>
    <w:rsid w:val="00BF13D7"/>
    <w:rsid w:val="00BF29CB"/>
    <w:rsid w:val="00BF33F7"/>
    <w:rsid w:val="00BF6DFF"/>
    <w:rsid w:val="00C003BC"/>
    <w:rsid w:val="00C00649"/>
    <w:rsid w:val="00C00903"/>
    <w:rsid w:val="00C00981"/>
    <w:rsid w:val="00C05BB5"/>
    <w:rsid w:val="00C071E0"/>
    <w:rsid w:val="00C07D41"/>
    <w:rsid w:val="00C11F54"/>
    <w:rsid w:val="00C15366"/>
    <w:rsid w:val="00C15F89"/>
    <w:rsid w:val="00C20B7E"/>
    <w:rsid w:val="00C22AF4"/>
    <w:rsid w:val="00C245B8"/>
    <w:rsid w:val="00C25734"/>
    <w:rsid w:val="00C27EF7"/>
    <w:rsid w:val="00C31487"/>
    <w:rsid w:val="00C32D7B"/>
    <w:rsid w:val="00C330D5"/>
    <w:rsid w:val="00C33396"/>
    <w:rsid w:val="00C33EEF"/>
    <w:rsid w:val="00C34B6D"/>
    <w:rsid w:val="00C35A8E"/>
    <w:rsid w:val="00C35B41"/>
    <w:rsid w:val="00C35DBA"/>
    <w:rsid w:val="00C36C8A"/>
    <w:rsid w:val="00C447AC"/>
    <w:rsid w:val="00C53D68"/>
    <w:rsid w:val="00C607C0"/>
    <w:rsid w:val="00C609F2"/>
    <w:rsid w:val="00C6567D"/>
    <w:rsid w:val="00C7223F"/>
    <w:rsid w:val="00C72915"/>
    <w:rsid w:val="00C801B5"/>
    <w:rsid w:val="00C85269"/>
    <w:rsid w:val="00C92F7E"/>
    <w:rsid w:val="00C975EA"/>
    <w:rsid w:val="00CA267C"/>
    <w:rsid w:val="00CA2C1E"/>
    <w:rsid w:val="00CA2F8B"/>
    <w:rsid w:val="00CB162A"/>
    <w:rsid w:val="00CB22EA"/>
    <w:rsid w:val="00CB3C92"/>
    <w:rsid w:val="00CC31C4"/>
    <w:rsid w:val="00CC614A"/>
    <w:rsid w:val="00CD3CA4"/>
    <w:rsid w:val="00CD5BAF"/>
    <w:rsid w:val="00CD79A8"/>
    <w:rsid w:val="00CE123B"/>
    <w:rsid w:val="00CF1634"/>
    <w:rsid w:val="00CF481F"/>
    <w:rsid w:val="00CF4D2F"/>
    <w:rsid w:val="00CF620B"/>
    <w:rsid w:val="00D0010E"/>
    <w:rsid w:val="00D04CF3"/>
    <w:rsid w:val="00D104F6"/>
    <w:rsid w:val="00D10A73"/>
    <w:rsid w:val="00D13826"/>
    <w:rsid w:val="00D139BE"/>
    <w:rsid w:val="00D14264"/>
    <w:rsid w:val="00D16A9A"/>
    <w:rsid w:val="00D17D74"/>
    <w:rsid w:val="00D224C9"/>
    <w:rsid w:val="00D24B77"/>
    <w:rsid w:val="00D24EA2"/>
    <w:rsid w:val="00D3044B"/>
    <w:rsid w:val="00D307AA"/>
    <w:rsid w:val="00D355CC"/>
    <w:rsid w:val="00D416F6"/>
    <w:rsid w:val="00D418AD"/>
    <w:rsid w:val="00D44373"/>
    <w:rsid w:val="00D51E3A"/>
    <w:rsid w:val="00D523ED"/>
    <w:rsid w:val="00D54D42"/>
    <w:rsid w:val="00D56D50"/>
    <w:rsid w:val="00D647CA"/>
    <w:rsid w:val="00D65253"/>
    <w:rsid w:val="00D67F2F"/>
    <w:rsid w:val="00D73123"/>
    <w:rsid w:val="00D736E9"/>
    <w:rsid w:val="00D7562B"/>
    <w:rsid w:val="00D76F6E"/>
    <w:rsid w:val="00D8082F"/>
    <w:rsid w:val="00D81223"/>
    <w:rsid w:val="00D83A9F"/>
    <w:rsid w:val="00D84224"/>
    <w:rsid w:val="00D918B8"/>
    <w:rsid w:val="00D94565"/>
    <w:rsid w:val="00D956D6"/>
    <w:rsid w:val="00DA1F42"/>
    <w:rsid w:val="00DA3F49"/>
    <w:rsid w:val="00DB4D29"/>
    <w:rsid w:val="00DC21C1"/>
    <w:rsid w:val="00DC331A"/>
    <w:rsid w:val="00DD042C"/>
    <w:rsid w:val="00DD07BD"/>
    <w:rsid w:val="00DD43C5"/>
    <w:rsid w:val="00DD60E2"/>
    <w:rsid w:val="00DD75DA"/>
    <w:rsid w:val="00DE36BD"/>
    <w:rsid w:val="00DE67F4"/>
    <w:rsid w:val="00DF01D0"/>
    <w:rsid w:val="00DF28E0"/>
    <w:rsid w:val="00DF4F49"/>
    <w:rsid w:val="00DF5B75"/>
    <w:rsid w:val="00DF66F0"/>
    <w:rsid w:val="00E04A87"/>
    <w:rsid w:val="00E07038"/>
    <w:rsid w:val="00E07600"/>
    <w:rsid w:val="00E15A94"/>
    <w:rsid w:val="00E2281F"/>
    <w:rsid w:val="00E23C0E"/>
    <w:rsid w:val="00E27BBF"/>
    <w:rsid w:val="00E363D8"/>
    <w:rsid w:val="00E36932"/>
    <w:rsid w:val="00E42658"/>
    <w:rsid w:val="00E43975"/>
    <w:rsid w:val="00E43BBA"/>
    <w:rsid w:val="00E500C5"/>
    <w:rsid w:val="00E51A4B"/>
    <w:rsid w:val="00E51E85"/>
    <w:rsid w:val="00E52A20"/>
    <w:rsid w:val="00E55D1E"/>
    <w:rsid w:val="00E5668E"/>
    <w:rsid w:val="00E56D69"/>
    <w:rsid w:val="00E57029"/>
    <w:rsid w:val="00E609B5"/>
    <w:rsid w:val="00E61DE0"/>
    <w:rsid w:val="00E63122"/>
    <w:rsid w:val="00E63F06"/>
    <w:rsid w:val="00E64886"/>
    <w:rsid w:val="00E651CF"/>
    <w:rsid w:val="00E6798F"/>
    <w:rsid w:val="00E67E0B"/>
    <w:rsid w:val="00E724F1"/>
    <w:rsid w:val="00E7751B"/>
    <w:rsid w:val="00E808A2"/>
    <w:rsid w:val="00E809E7"/>
    <w:rsid w:val="00EA73E5"/>
    <w:rsid w:val="00EB3664"/>
    <w:rsid w:val="00EB3AF7"/>
    <w:rsid w:val="00EB5D9B"/>
    <w:rsid w:val="00ED425C"/>
    <w:rsid w:val="00EE16A5"/>
    <w:rsid w:val="00EE2B0A"/>
    <w:rsid w:val="00EE3198"/>
    <w:rsid w:val="00EE31DA"/>
    <w:rsid w:val="00EE6AEE"/>
    <w:rsid w:val="00EF4EF0"/>
    <w:rsid w:val="00EF57C9"/>
    <w:rsid w:val="00F0297E"/>
    <w:rsid w:val="00F07278"/>
    <w:rsid w:val="00F077A3"/>
    <w:rsid w:val="00F10471"/>
    <w:rsid w:val="00F112F6"/>
    <w:rsid w:val="00F158EE"/>
    <w:rsid w:val="00F1701C"/>
    <w:rsid w:val="00F32774"/>
    <w:rsid w:val="00F35CAC"/>
    <w:rsid w:val="00F438AA"/>
    <w:rsid w:val="00F445C1"/>
    <w:rsid w:val="00F448E2"/>
    <w:rsid w:val="00F52357"/>
    <w:rsid w:val="00F5322B"/>
    <w:rsid w:val="00F56AEB"/>
    <w:rsid w:val="00F6131B"/>
    <w:rsid w:val="00F61D17"/>
    <w:rsid w:val="00F62359"/>
    <w:rsid w:val="00F671B9"/>
    <w:rsid w:val="00F67B2B"/>
    <w:rsid w:val="00F7278A"/>
    <w:rsid w:val="00F729C9"/>
    <w:rsid w:val="00F738E0"/>
    <w:rsid w:val="00F7451E"/>
    <w:rsid w:val="00F77D76"/>
    <w:rsid w:val="00F80B45"/>
    <w:rsid w:val="00F862A3"/>
    <w:rsid w:val="00F862F2"/>
    <w:rsid w:val="00F9005F"/>
    <w:rsid w:val="00F910F0"/>
    <w:rsid w:val="00F9271D"/>
    <w:rsid w:val="00F92953"/>
    <w:rsid w:val="00F954B8"/>
    <w:rsid w:val="00F96856"/>
    <w:rsid w:val="00FA2BB6"/>
    <w:rsid w:val="00FA440F"/>
    <w:rsid w:val="00FB04E0"/>
    <w:rsid w:val="00FB795E"/>
    <w:rsid w:val="00FC109E"/>
    <w:rsid w:val="00FC144A"/>
    <w:rsid w:val="00FC2163"/>
    <w:rsid w:val="00FC5406"/>
    <w:rsid w:val="00FD075D"/>
    <w:rsid w:val="00FD2CF3"/>
    <w:rsid w:val="00FD491E"/>
    <w:rsid w:val="00FD7385"/>
    <w:rsid w:val="00FE28E5"/>
    <w:rsid w:val="00FE6719"/>
    <w:rsid w:val="00FF2385"/>
    <w:rsid w:val="00FF3A0E"/>
    <w:rsid w:val="00FF4609"/>
    <w:rsid w:val="00FF5A01"/>
    <w:rsid w:val="00FF69EA"/>
    <w:rsid w:val="00FF72C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7F72C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72C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69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44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90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364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3506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91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10808</TotalTime>
  <Pages>3</Pages>
  <Words>1333</Words>
  <Characters>7604</Characters>
  <Application>Microsoft Office Word</Application>
  <DocSecurity>0</DocSecurity>
  <Lines>63</Lines>
  <Paragraphs>17</Paragraphs>
  <ScaleCrop>false</ScaleCrop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614</cp:revision>
  <dcterms:created xsi:type="dcterms:W3CDTF">2021-01-15T00:45:00Z</dcterms:created>
  <dcterms:modified xsi:type="dcterms:W3CDTF">2023-02-17T01:18:00Z</dcterms:modified>
</cp:coreProperties>
</file>